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761F5">
      <w:pPr>
        <w:spacing w:line="420" w:lineRule="exact"/>
        <w:jc w:val="center"/>
        <w:rPr>
          <w:rFonts w:ascii="Times New Roman" w:hAnsi="Times New Roman" w:eastAsia="宋体" w:cs="Times New Roman"/>
          <w:b/>
          <w:bCs/>
          <w:sz w:val="22"/>
        </w:rPr>
      </w:pPr>
      <w:r>
        <w:rPr>
          <w:rFonts w:hint="eastAsia" w:ascii="Times New Roman" w:hAnsi="Times New Roman" w:eastAsia="宋体" w:cs="Times New Roman"/>
          <w:b/>
          <w:bCs/>
          <w:sz w:val="22"/>
        </w:rPr>
        <w:t>第三章 水溶液中的离子反应与平衡</w:t>
      </w:r>
    </w:p>
    <w:p w14:paraId="39B5DA82">
      <w:pPr>
        <w:spacing w:line="420" w:lineRule="exact"/>
        <w:jc w:val="center"/>
        <w:rPr>
          <w:rFonts w:ascii="Times New Roman" w:hAnsi="Times New Roman" w:eastAsia="宋体" w:cs="Times New Roman"/>
          <w:b/>
          <w:bCs/>
          <w:sz w:val="22"/>
        </w:rPr>
      </w:pPr>
      <w:r>
        <w:rPr>
          <w:rFonts w:hint="eastAsia" w:ascii="Times New Roman" w:hAnsi="Times New Roman" w:eastAsia="宋体" w:cs="Times New Roman"/>
          <w:b/>
          <w:bCs/>
          <w:sz w:val="22"/>
        </w:rPr>
        <w:t xml:space="preserve">第一节 电离平衡 </w:t>
      </w:r>
    </w:p>
    <w:p w14:paraId="108C734A">
      <w:pPr>
        <w:spacing w:line="420" w:lineRule="exact"/>
        <w:jc w:val="center"/>
        <w:rPr>
          <w:rFonts w:ascii="Times New Roman" w:hAnsi="Times New Roman" w:eastAsia="宋体" w:cs="Times New Roman"/>
          <w:b/>
          <w:bCs/>
          <w:sz w:val="22"/>
        </w:rPr>
      </w:pPr>
      <w:r>
        <w:rPr>
          <w:rFonts w:hint="eastAsia" w:ascii="Times New Roman" w:hAnsi="Times New Roman" w:eastAsia="宋体" w:cs="Times New Roman"/>
          <w:b/>
          <w:bCs/>
          <w:sz w:val="22"/>
        </w:rPr>
        <w:t>课时1 弱电解质的电离平衡</w:t>
      </w:r>
    </w:p>
    <w:p w14:paraId="772F8AFD">
      <w:pPr>
        <w:spacing w:line="420" w:lineRule="exact"/>
        <w:rPr>
          <w:rFonts w:ascii="Times New Roman" w:hAnsi="Times New Roman" w:eastAsia="宋体" w:cs="Times New Roman"/>
          <w:b/>
          <w:bCs/>
          <w:color w:val="91ACE0"/>
          <w:sz w:val="22"/>
          <w:u w:val="thick"/>
        </w:rPr>
      </w:pPr>
      <w:r>
        <w:rPr>
          <w:rFonts w:ascii="Times New Roman" w:hAnsi="Times New Roman" w:eastAsia="宋体" w:cs="Times New Roman"/>
          <w:b/>
          <w:bCs/>
          <w:sz w:val="22"/>
        </w:rPr>
        <w:t>预习填空</w:t>
      </w:r>
    </w:p>
    <w:p w14:paraId="75F3F315">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一、强电解质和弱电解质</w:t>
      </w:r>
    </w:p>
    <w:p w14:paraId="2AC1717A">
      <w:pPr>
        <w:spacing w:line="360" w:lineRule="exact"/>
        <w:rPr>
          <w:rFonts w:ascii="Times New Roman" w:hAnsi="Times New Roman" w:eastAsia="宋体" w:cs="Times New Roman"/>
          <w:szCs w:val="21"/>
        </w:rPr>
      </w:pPr>
      <w:r>
        <w:rPr>
          <w:rFonts w:ascii="Times New Roman" w:hAnsi="Times New Roman" w:eastAsia="宋体" w:cs="Times New Roman"/>
          <w:szCs w:val="21"/>
        </w:rPr>
        <w:t>1.电解质和非电解质</w:t>
      </w:r>
    </w:p>
    <w:p w14:paraId="5A2B311B">
      <w:pPr>
        <w:spacing w:line="360" w:lineRule="exact"/>
        <w:rPr>
          <w:rFonts w:ascii="Times New Roman" w:hAnsi="Times New Roman" w:eastAsia="宋体" w:cs="Times New Roman"/>
          <w:szCs w:val="21"/>
        </w:rPr>
      </w:pPr>
      <w:r>
        <w:rPr>
          <w:rFonts w:ascii="Times New Roman" w:hAnsi="Times New Roman" w:eastAsia="宋体" w:cs="Times New Roman"/>
          <w:szCs w:val="21"/>
        </w:rPr>
        <w:t>电解质:在水溶液中或熔融状态下能导电的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4607C634">
      <w:pPr>
        <w:spacing w:line="360" w:lineRule="exact"/>
        <w:rPr>
          <w:rFonts w:ascii="Times New Roman" w:hAnsi="Times New Roman" w:eastAsia="宋体" w:cs="Times New Roman"/>
          <w:szCs w:val="21"/>
        </w:rPr>
      </w:pPr>
      <w:r>
        <w:rPr>
          <w:rFonts w:ascii="Times New Roman" w:hAnsi="Times New Roman" w:eastAsia="宋体" w:cs="Times New Roman"/>
          <w:szCs w:val="21"/>
        </w:rPr>
        <w:t>非电解质:在水溶液中和熔融状态下均以分子形式存在,因而不能导电的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334B9A39">
      <w:pPr>
        <w:spacing w:line="360" w:lineRule="exact"/>
        <w:rPr>
          <w:rFonts w:ascii="Times New Roman" w:hAnsi="Times New Roman" w:eastAsia="宋体" w:cs="Times New Roman"/>
          <w:szCs w:val="21"/>
        </w:rPr>
      </w:pPr>
      <w:r>
        <w:rPr>
          <w:rFonts w:ascii="Times New Roman" w:hAnsi="Times New Roman" w:eastAsia="宋体" w:cs="Times New Roman"/>
          <w:szCs w:val="21"/>
        </w:rPr>
        <w:t>2.强电解质和弱电解质</w:t>
      </w:r>
    </w:p>
    <w:p w14:paraId="766854AB">
      <w:pPr>
        <w:spacing w:line="360" w:lineRule="exact"/>
        <w:rPr>
          <w:rFonts w:ascii="Times New Roman" w:hAnsi="Times New Roman" w:eastAsia="宋体" w:cs="Times New Roman"/>
          <w:szCs w:val="21"/>
        </w:rPr>
      </w:pPr>
      <w:r>
        <w:rPr>
          <w:rFonts w:ascii="Times New Roman" w:hAnsi="Times New Roman" w:eastAsia="宋体" w:cs="Times New Roman"/>
          <w:szCs w:val="21"/>
        </w:rPr>
        <w:t>(1)强电解质:在水溶液中或熔融状态下能够</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电离的电解质。如</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、活泼金属氧化物等。 </w:t>
      </w:r>
    </w:p>
    <w:p w14:paraId="1B852DC4">
      <w:pPr>
        <w:spacing w:line="360" w:lineRule="exact"/>
        <w:rPr>
          <w:rFonts w:ascii="Times New Roman" w:hAnsi="Times New Roman" w:eastAsia="宋体" w:cs="Times New Roman"/>
          <w:szCs w:val="21"/>
        </w:rPr>
      </w:pPr>
      <w:r>
        <w:rPr>
          <w:rFonts w:ascii="Times New Roman" w:hAnsi="Times New Roman" w:eastAsia="宋体" w:cs="Times New Roman"/>
          <w:szCs w:val="21"/>
        </w:rPr>
        <w:t>(2)弱电解质:在水溶液中</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电离的电解质。如</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等。 </w:t>
      </w:r>
    </w:p>
    <w:p w14:paraId="5F39859A">
      <w:pPr>
        <w:spacing w:line="360" w:lineRule="exact"/>
        <w:rPr>
          <w:rFonts w:ascii="Times New Roman" w:hAnsi="Times New Roman" w:eastAsia="宋体" w:cs="Times New Roman"/>
          <w:szCs w:val="21"/>
        </w:rPr>
      </w:pPr>
      <w:r>
        <w:rPr>
          <w:rFonts w:ascii="Times New Roman" w:hAnsi="Times New Roman" w:eastAsia="宋体" w:cs="Times New Roman"/>
          <w:szCs w:val="21"/>
        </w:rPr>
        <w:t>3.电离方程式的书写</w:t>
      </w:r>
      <w:r>
        <w:rPr>
          <w:rFonts w:hint="eastAsia" w:ascii="Times New Roman" w:hAnsi="Times New Roman" w:eastAsia="宋体" w:cs="Times New Roman"/>
          <w:szCs w:val="21"/>
        </w:rPr>
        <w:t xml:space="preserve"> </w:t>
      </w:r>
    </w:p>
    <w:p w14:paraId="3CC75723">
      <w:pPr>
        <w:spacing w:line="360" w:lineRule="exact"/>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一元弱酸、弱碱一步电离。</w:t>
      </w:r>
    </w:p>
    <w:p w14:paraId="4666ACA9">
      <w:pPr>
        <w:spacing w:line="360" w:lineRule="exact"/>
        <w:rPr>
          <w:rFonts w:ascii="Times New Roman" w:hAnsi="Times New Roman" w:eastAsia="宋体" w:cs="Times New Roman"/>
          <w:szCs w:val="21"/>
        </w:rPr>
      </w:pPr>
      <w:r>
        <w:pict>
          <v:line id="直接连接符 20" o:spid="_x0000_s2051" o:spt="20" style="position:absolute;left:0pt;margin-left:199.3pt;margin-top:19.35pt;height:0.45pt;width:60.55pt;z-index:251659264;mso-width-relative:page;mso-height-relative:page;" coordsize="21600,21600">
            <v:path arrowok="t"/>
            <v:fill focussize="0,0"/>
            <v:stroke weight="1pt" joinstyle="miter"/>
            <v:imagedata o:title=""/>
            <o:lock v:ext="edit"/>
          </v:line>
        </w:pict>
      </w:r>
      <w:r>
        <w:rPr>
          <w:rFonts w:ascii="Times New Roman" w:hAnsi="Times New Roman" w:eastAsia="宋体" w:cs="Times New Roman"/>
          <w:szCs w:val="21"/>
        </w:rPr>
        <w:t>如CH</w:t>
      </w:r>
      <w:r>
        <w:rPr>
          <w:rFonts w:ascii="Times New Roman" w:hAnsi="Times New Roman" w:eastAsia="宋体" w:cs="Times New Roman"/>
          <w:szCs w:val="21"/>
          <w:vertAlign w:val="subscript"/>
        </w:rPr>
        <w:t>3</w:t>
      </w:r>
      <w:r>
        <w:rPr>
          <w:rFonts w:ascii="Times New Roman" w:hAnsi="Times New Roman" w:eastAsia="宋体" w:cs="Times New Roman"/>
          <w:szCs w:val="21"/>
        </w:rPr>
        <w:t>COOH</w:t>
      </w:r>
      <w:r>
        <w:rPr>
          <w:rFonts w:ascii="Times New Roman" w:hAnsi="Times New Roman" w:eastAsia="宋体" w:cs="Times New Roman"/>
          <w:szCs w:val="21"/>
        </w:rPr>
        <w:drawing>
          <wp:inline distT="0" distB="0" distL="0" distR="0">
            <wp:extent cx="219075" cy="124460"/>
            <wp:effectExtent l="0" t="0" r="9525" b="8890"/>
            <wp:docPr id="1134" name="图片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 name="图片 1134"/>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NH</w:t>
      </w:r>
      <w:r>
        <w:rPr>
          <w:rFonts w:ascii="Times New Roman" w:hAnsi="Times New Roman" w:eastAsia="宋体" w:cs="Times New Roman"/>
          <w:szCs w:val="21"/>
          <w:vertAlign w:val="subscript"/>
        </w:rPr>
        <w:t>3</w:t>
      </w:r>
      <w:r>
        <w:rPr>
          <w:rFonts w:ascii="Times New Roman" w:hAnsi="Times New Roman" w:eastAsia="宋体" w:cs="Times New Roman"/>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O</w:t>
      </w:r>
      <w:r>
        <w:rPr>
          <w:rFonts w:ascii="Times New Roman" w:hAnsi="Times New Roman" w:eastAsia="宋体" w:cs="Times New Roman"/>
          <w:szCs w:val="21"/>
        </w:rPr>
        <w:drawing>
          <wp:inline distT="0" distB="0" distL="0" distR="0">
            <wp:extent cx="219075" cy="124460"/>
            <wp:effectExtent l="0" t="0" r="9525" b="8890"/>
            <wp:docPr id="1135" name="图片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 name="图片 1135"/>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hint="eastAsia" w:ascii="Times New Roman" w:hAnsi="Times New Roman" w:eastAsia="宋体" w:cs="Times New Roman"/>
          <w:szCs w:val="21"/>
        </w:rPr>
        <w:t xml:space="preserve">                         </w:t>
      </w:r>
      <w:r>
        <w:rPr>
          <w:rFonts w:ascii="Times New Roman" w:hAnsi="Times New Roman" w:eastAsia="宋体" w:cs="Times New Roman"/>
          <w:szCs w:val="21"/>
          <w:vertAlign w:val="superscript"/>
        </w:rPr>
        <w:t>-</w:t>
      </w:r>
      <w:r>
        <w:rPr>
          <w:rFonts w:ascii="Times New Roman" w:hAnsi="Times New Roman" w:eastAsia="宋体" w:cs="Times New Roman"/>
          <w:szCs w:val="21"/>
        </w:rPr>
        <w:t>。 </w:t>
      </w:r>
    </w:p>
    <w:p w14:paraId="6BFAAC27">
      <w:pPr>
        <w:spacing w:line="360" w:lineRule="exact"/>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多元弱酸分步电离,必须</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写出,不可合并(其中以第一步电离为主)。 </w:t>
      </w:r>
    </w:p>
    <w:p w14:paraId="0AAB4F6E">
      <w:pPr>
        <w:spacing w:line="360" w:lineRule="exact"/>
        <w:rPr>
          <w:rFonts w:ascii="Times New Roman" w:hAnsi="Times New Roman" w:eastAsia="宋体" w:cs="Times New Roman"/>
          <w:szCs w:val="21"/>
        </w:rPr>
      </w:pPr>
      <w:r>
        <w:rPr>
          <w:rFonts w:ascii="Times New Roman" w:hAnsi="Times New Roman" w:eastAsia="宋体" w:cs="Times New Roman"/>
          <w:szCs w:val="21"/>
        </w:rPr>
        <w:t>如H</w:t>
      </w:r>
      <w:r>
        <w:rPr>
          <w:rFonts w:ascii="Times New Roman" w:hAnsi="Times New Roman" w:eastAsia="宋体" w:cs="Times New Roman"/>
          <w:szCs w:val="21"/>
          <w:vertAlign w:val="subscript"/>
        </w:rPr>
        <w:t>2</w:t>
      </w:r>
      <w:r>
        <w:rPr>
          <w:rFonts w:ascii="Times New Roman" w:hAnsi="Times New Roman" w:eastAsia="宋体" w:cs="Times New Roman"/>
          <w:szCs w:val="21"/>
        </w:rPr>
        <w:t>CO</w:t>
      </w:r>
      <w:r>
        <w:rPr>
          <w:rFonts w:ascii="Times New Roman" w:hAnsi="Times New Roman" w:eastAsia="宋体" w:cs="Times New Roman"/>
          <w:szCs w:val="21"/>
          <w:vertAlign w:val="subscript"/>
        </w:rPr>
        <w:t>3</w:t>
      </w:r>
      <w:r>
        <w:rPr>
          <w:rFonts w:ascii="Times New Roman" w:hAnsi="Times New Roman" w:eastAsia="宋体" w:cs="Times New Roman"/>
          <w:szCs w:val="21"/>
        </w:rPr>
        <w:drawing>
          <wp:inline distT="0" distB="0" distL="0" distR="0">
            <wp:extent cx="219075" cy="124460"/>
            <wp:effectExtent l="0" t="0" r="9525" b="8890"/>
            <wp:docPr id="1136" name="图片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 name="图片 1136"/>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+HC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nor/>
                <m:sty m:val="p"/>
              </m:rPr>
              <w:rPr>
                <w:rFonts w:ascii="Cambria Math" w:hAnsi="Cambria Math" w:eastAsia="宋体" w:cs="Times New Roman"/>
                <w:b w:val="0"/>
                <w:i w:val="0"/>
                <w:szCs w:val="21"/>
              </w:rPr>
              <m:t>-</m:t>
            </m:r>
            <m:ctrlPr>
              <w:rPr>
                <w:rFonts w:ascii="Cambria Math" w:hAnsi="Cambria Math" w:eastAsia="宋体" w:cs="Times New Roman"/>
                <w:szCs w:val="21"/>
              </w:rPr>
            </m:ctrlPr>
          </m:sup>
        </m:sSubSup>
      </m:oMath>
      <w:r>
        <w:rPr>
          <w:rFonts w:ascii="Times New Roman" w:hAnsi="Times New Roman" w:eastAsia="宋体" w:cs="Times New Roman"/>
          <w:szCs w:val="21"/>
        </w:rPr>
        <w:t>(主),HC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nor/>
                <m:sty m:val="p"/>
              </m:rPr>
              <w:rPr>
                <w:rFonts w:ascii="Cambria Math" w:hAnsi="Cambria Math" w:eastAsia="宋体" w:cs="Times New Roman"/>
                <w:b w:val="0"/>
                <w:i w:val="0"/>
                <w:szCs w:val="21"/>
              </w:rPr>
              <m:t>-</m:t>
            </m:r>
            <m:ctrlPr>
              <w:rPr>
                <w:rFonts w:ascii="Cambria Math" w:hAnsi="Cambria Math" w:eastAsia="宋体" w:cs="Times New Roman"/>
                <w:szCs w:val="21"/>
              </w:rPr>
            </m:ctrlPr>
          </m:sup>
        </m:sSubSup>
      </m:oMath>
      <w:r>
        <w:rPr>
          <w:rFonts w:ascii="Times New Roman" w:hAnsi="Times New Roman" w:eastAsia="宋体" w:cs="Times New Roman"/>
          <w:szCs w:val="21"/>
        </w:rPr>
        <w:drawing>
          <wp:inline distT="0" distB="0" distL="0" distR="0">
            <wp:extent cx="219075" cy="124460"/>
            <wp:effectExtent l="0" t="0" r="9525" b="8890"/>
            <wp:docPr id="1137" name="图片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 name="图片 1137"/>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oMath>
      <w:r>
        <w:rPr>
          <w:rFonts w:ascii="Times New Roman" w:hAnsi="Times New Roman" w:eastAsia="宋体" w:cs="Times New Roman"/>
          <w:szCs w:val="21"/>
        </w:rPr>
        <w:t>(次)。</w:t>
      </w:r>
    </w:p>
    <w:p w14:paraId="6912DACB">
      <w:pPr>
        <w:spacing w:line="360" w:lineRule="exact"/>
        <w:rPr>
          <w:rFonts w:ascii="Times New Roman" w:hAnsi="Times New Roman" w:eastAsia="宋体" w:cs="Times New Roman"/>
          <w:szCs w:val="21"/>
        </w:rPr>
      </w:pPr>
      <w:r>
        <w:rPr>
          <w:rFonts w:ascii="Cambria Math" w:hAnsi="Cambria Math" w:eastAsia="宋体" w:cs="Cambria Math"/>
          <w:szCs w:val="21"/>
        </w:rPr>
        <w:t>③</w:t>
      </w:r>
      <w:r>
        <w:rPr>
          <w:rFonts w:ascii="Times New Roman" w:hAnsi="Times New Roman" w:eastAsia="宋体" w:cs="Times New Roman"/>
          <w:szCs w:val="21"/>
        </w:rPr>
        <w:t>多元弱碱分步电离 (较复杂),在中学阶段要求一步写出。</w:t>
      </w:r>
    </w:p>
    <w:p w14:paraId="1360818E">
      <w:pPr>
        <w:spacing w:line="360" w:lineRule="exact"/>
        <w:rPr>
          <w:rFonts w:ascii="Times New Roman" w:hAnsi="Times New Roman" w:eastAsia="宋体" w:cs="Times New Roman"/>
          <w:szCs w:val="21"/>
        </w:rPr>
      </w:pPr>
      <w:r>
        <w:rPr>
          <w:rFonts w:ascii="Times New Roman" w:hAnsi="Times New Roman" w:eastAsia="宋体" w:cs="Times New Roman"/>
          <w:szCs w:val="21"/>
        </w:rPr>
        <w:t>如Fe(OH)</w:t>
      </w:r>
      <w:r>
        <w:rPr>
          <w:rFonts w:ascii="Times New Roman" w:hAnsi="Times New Roman" w:eastAsia="宋体" w:cs="Times New Roman"/>
          <w:szCs w:val="21"/>
          <w:vertAlign w:val="subscript"/>
        </w:rPr>
        <w:t>3</w:t>
      </w:r>
      <w:r>
        <w:rPr>
          <w:rFonts w:ascii="Times New Roman" w:hAnsi="Times New Roman" w:eastAsia="宋体" w:cs="Times New Roman"/>
          <w:szCs w:val="21"/>
        </w:rPr>
        <w:drawing>
          <wp:inline distT="0" distB="0" distL="0" distR="0">
            <wp:extent cx="219075" cy="124460"/>
            <wp:effectExtent l="0" t="0" r="9525" b="8890"/>
            <wp:docPr id="1138" name="图片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 name="图片 1138"/>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7856D5F6">
      <w:pPr>
        <w:spacing w:line="420" w:lineRule="exact"/>
        <w:rPr>
          <w:rFonts w:ascii="Times New Roman" w:hAnsi="Times New Roman" w:eastAsia="宋体" w:cs="Times New Roman"/>
          <w:b/>
          <w:bCs/>
          <w:szCs w:val="21"/>
        </w:rPr>
      </w:pPr>
      <w:r>
        <w:rPr>
          <w:rFonts w:ascii="Times New Roman" w:hAnsi="Times New Roman" w:eastAsia="宋体" w:cs="Times New Roman"/>
          <w:b/>
          <w:bCs/>
          <w:szCs w:val="21"/>
        </w:rPr>
        <w:t>二、弱电解质的电离平衡</w:t>
      </w:r>
    </w:p>
    <w:p w14:paraId="365B331B">
      <w:pPr>
        <w:spacing w:line="300" w:lineRule="exact"/>
        <w:rPr>
          <w:rFonts w:ascii="Times New Roman" w:hAnsi="Times New Roman" w:eastAsia="宋体" w:cs="Times New Roman"/>
          <w:szCs w:val="21"/>
        </w:rPr>
      </w:pPr>
      <w:r>
        <w:rPr>
          <w:rFonts w:ascii="Times New Roman" w:hAnsi="Times New Roman" w:eastAsia="宋体" w:cs="Times New Roman"/>
          <w:szCs w:val="21"/>
        </w:rPr>
        <w:t>1.电离平衡状态</w:t>
      </w:r>
    </w:p>
    <w:p w14:paraId="63C46CA5">
      <w:pPr>
        <w:spacing w:line="300" w:lineRule="exact"/>
        <w:rPr>
          <w:rFonts w:ascii="Times New Roman" w:hAnsi="Times New Roman" w:eastAsia="宋体" w:cs="Times New Roman"/>
          <w:szCs w:val="21"/>
        </w:rPr>
      </w:pPr>
      <w:r>
        <w:rPr>
          <w:rFonts w:ascii="Times New Roman" w:hAnsi="Times New Roman" w:eastAsia="宋体" w:cs="Times New Roman"/>
          <w:szCs w:val="21"/>
        </w:rPr>
        <w:t>(1)概念:在一定条件(如温度、浓度)下,弱电解质分子电离成离子的速率与离子结合成弱电解质分子的速率相等,溶液中各分子和离子的浓度都不再发生变化,电离过程就达到了电离平衡状态。 </w:t>
      </w:r>
    </w:p>
    <w:p w14:paraId="0188EDFB">
      <w:pPr>
        <w:spacing w:line="300" w:lineRule="exact"/>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2</w:t>
      </w:r>
      <w:r>
        <w:rPr>
          <w:rFonts w:ascii="Times New Roman" w:hAnsi="Times New Roman" w:eastAsia="宋体" w:cs="Times New Roman"/>
          <w:szCs w:val="21"/>
        </w:rPr>
        <w:t>)电离平衡的特征</w:t>
      </w:r>
    </w:p>
    <w:p w14:paraId="7D1E6935">
      <w:pPr>
        <w:spacing w:line="300" w:lineRule="exact"/>
        <w:rPr>
          <w:rFonts w:ascii="Times New Roman" w:hAnsi="Times New Roman" w:eastAsia="宋体" w:cs="Times New Roman"/>
          <w:szCs w:val="21"/>
          <w:u w:val="thick"/>
        </w:rPr>
      </w:pPr>
      <w:r>
        <w:rPr>
          <w:rFonts w:ascii="Times New Roman" w:hAnsi="Times New Roman" w:eastAsia="宋体" w:cs="Times New Roman"/>
          <w:szCs w:val="21"/>
        </w:rPr>
        <w:t>弱：研究对象为</w:t>
      </w:r>
      <w:r>
        <w:rPr>
          <w:rFonts w:hint="eastAsia" w:ascii="Times New Roman" w:hAnsi="Times New Roman" w:eastAsia="宋体" w:cs="Times New Roman"/>
          <w:szCs w:val="21"/>
          <w:u w:val="thick"/>
        </w:rPr>
        <w:t xml:space="preserve">  ______________</w:t>
      </w:r>
    </w:p>
    <w:p w14:paraId="12B70AD9">
      <w:pPr>
        <w:spacing w:line="300" w:lineRule="exact"/>
        <w:rPr>
          <w:rFonts w:ascii="Times New Roman" w:hAnsi="Times New Roman" w:eastAsia="宋体" w:cs="Times New Roman"/>
          <w:szCs w:val="21"/>
          <w:u w:val="thick"/>
        </w:rPr>
      </w:pPr>
      <w:r>
        <w:rPr>
          <w:rFonts w:ascii="Times New Roman" w:hAnsi="Times New Roman" w:eastAsia="宋体" w:cs="Times New Roman"/>
          <w:szCs w:val="21"/>
        </w:rPr>
        <w:t>等：弱电解质分子电离成离子的速率和离子重新结合成分子的速率</w:t>
      </w:r>
      <w:r>
        <w:rPr>
          <w:rFonts w:hint="eastAsia" w:ascii="Times New Roman" w:hAnsi="Times New Roman" w:eastAsia="宋体" w:cs="Times New Roman"/>
          <w:szCs w:val="21"/>
          <w:u w:val="thick"/>
        </w:rPr>
        <w:t xml:space="preserve">  ________</w:t>
      </w:r>
    </w:p>
    <w:p w14:paraId="1327D7C3">
      <w:pPr>
        <w:spacing w:line="300" w:lineRule="exact"/>
        <w:rPr>
          <w:rFonts w:ascii="Times New Roman" w:hAnsi="Times New Roman" w:eastAsia="宋体" w:cs="Times New Roman"/>
          <w:szCs w:val="21"/>
        </w:rPr>
      </w:pPr>
      <w:r>
        <w:rPr>
          <w:rFonts w:ascii="Times New Roman" w:hAnsi="Times New Roman" w:eastAsia="宋体" w:cs="Times New Roman"/>
          <w:szCs w:val="21"/>
        </w:rPr>
        <w:t>动：电离平衡和化学平衡一样是动态的</w:t>
      </w:r>
    </w:p>
    <w:p w14:paraId="7A8D1EC4">
      <w:pPr>
        <w:spacing w:line="300" w:lineRule="exact"/>
        <w:rPr>
          <w:rFonts w:ascii="Times New Roman" w:hAnsi="Times New Roman" w:eastAsia="宋体" w:cs="Times New Roman"/>
          <w:szCs w:val="21"/>
          <w:u w:val="thick"/>
        </w:rPr>
      </w:pPr>
      <w:r>
        <w:rPr>
          <w:rFonts w:ascii="Times New Roman" w:hAnsi="Times New Roman" w:eastAsia="宋体" w:cs="Times New Roman"/>
          <w:szCs w:val="21"/>
        </w:rPr>
        <w:t>定：达到平衡时，溶液中离子浓度和分子浓度都保持</w:t>
      </w:r>
      <w:r>
        <w:rPr>
          <w:rFonts w:hint="eastAsia" w:ascii="Times New Roman" w:hAnsi="Times New Roman" w:eastAsia="宋体" w:cs="Times New Roman"/>
          <w:szCs w:val="21"/>
          <w:u w:val="thick"/>
        </w:rPr>
        <w:t>________</w:t>
      </w:r>
    </w:p>
    <w:p w14:paraId="12E2379F">
      <w:pPr>
        <w:spacing w:line="300" w:lineRule="exact"/>
        <w:rPr>
          <w:rFonts w:ascii="Times New Roman" w:hAnsi="Times New Roman" w:eastAsia="宋体" w:cs="Times New Roman"/>
          <w:szCs w:val="21"/>
        </w:rPr>
      </w:pPr>
      <w:r>
        <w:rPr>
          <w:rFonts w:ascii="Times New Roman" w:hAnsi="Times New Roman" w:eastAsia="宋体" w:cs="Times New Roman"/>
          <w:szCs w:val="21"/>
        </w:rPr>
        <w:t>变：条件改变，电离平衡发生移动，各粒子的浓度要发生改变</w:t>
      </w:r>
    </w:p>
    <w:p w14:paraId="0B7C9054">
      <w:pPr>
        <w:spacing w:line="420" w:lineRule="exact"/>
        <w:rPr>
          <w:rFonts w:ascii="Times New Roman" w:hAnsi="Times New Roman" w:eastAsia="宋体" w:cs="Times New Roman"/>
          <w:szCs w:val="21"/>
        </w:rPr>
      </w:pPr>
      <w:r>
        <w:rPr>
          <w:rFonts w:ascii="Times New Roman" w:hAnsi="Times New Roman" w:eastAsia="宋体" w:cs="Times New Roman"/>
          <w:szCs w:val="21"/>
        </w:rPr>
        <w:t>2.电离平衡的影响因素</w:t>
      </w:r>
    </w:p>
    <w:tbl>
      <w:tblPr>
        <w:tblStyle w:val="15"/>
        <w:tblW w:w="4605"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826"/>
        <w:gridCol w:w="6923"/>
      </w:tblGrid>
      <w:tr w14:paraId="75AD54E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44B99785">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因素</w:t>
            </w:r>
          </w:p>
        </w:tc>
        <w:tc>
          <w:tcPr>
            <w:tcW w:w="4467" w:type="pct"/>
            <w:tcMar>
              <w:left w:w="105" w:type="dxa"/>
              <w:right w:w="105" w:type="dxa"/>
            </w:tcMar>
            <w:vAlign w:val="center"/>
          </w:tcPr>
          <w:p w14:paraId="1EF69B37">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影响结果</w:t>
            </w:r>
          </w:p>
        </w:tc>
      </w:tr>
      <w:tr w14:paraId="1DBE4D1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159F56DF">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温度</w:t>
            </w:r>
          </w:p>
        </w:tc>
        <w:tc>
          <w:tcPr>
            <w:tcW w:w="4467" w:type="pct"/>
            <w:tcMar>
              <w:left w:w="105" w:type="dxa"/>
              <w:right w:w="105" w:type="dxa"/>
            </w:tcMar>
            <w:vAlign w:val="center"/>
          </w:tcPr>
          <w:p w14:paraId="1CD475F7">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升高温度,电离平衡</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移动 </w:t>
            </w:r>
          </w:p>
        </w:tc>
      </w:tr>
      <w:tr w14:paraId="6EA8253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28A116D8">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浓度</w:t>
            </w:r>
          </w:p>
        </w:tc>
        <w:tc>
          <w:tcPr>
            <w:tcW w:w="4467" w:type="pct"/>
            <w:tcMar>
              <w:left w:w="105" w:type="dxa"/>
              <w:right w:w="105" w:type="dxa"/>
            </w:tcMar>
            <w:vAlign w:val="center"/>
          </w:tcPr>
          <w:p w14:paraId="46F636FB">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加水稀释,电离平衡</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移动 </w:t>
            </w:r>
          </w:p>
        </w:tc>
      </w:tr>
      <w:tr w14:paraId="40056E1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vMerge w:val="restart"/>
            <w:tcMar>
              <w:left w:w="0" w:type="dxa"/>
              <w:right w:w="0" w:type="dxa"/>
            </w:tcMar>
            <w:vAlign w:val="center"/>
          </w:tcPr>
          <w:p w14:paraId="43A83CEB">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外加</w:t>
            </w:r>
          </w:p>
          <w:p w14:paraId="2835D51F">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物质</w:t>
            </w:r>
          </w:p>
        </w:tc>
        <w:tc>
          <w:tcPr>
            <w:tcW w:w="4467" w:type="pct"/>
            <w:tcMar>
              <w:left w:w="105" w:type="dxa"/>
              <w:right w:w="105" w:type="dxa"/>
            </w:tcMar>
            <w:vAlign w:val="center"/>
          </w:tcPr>
          <w:p w14:paraId="343DC042">
            <w:pPr>
              <w:spacing w:line="420" w:lineRule="exact"/>
              <w:rPr>
                <w:rFonts w:ascii="Times New Roman" w:hAnsi="Times New Roman" w:eastAsia="宋体" w:cs="Times New Roman"/>
                <w:szCs w:val="21"/>
              </w:rPr>
            </w:pPr>
            <w:r>
              <w:rPr>
                <w:rFonts w:ascii="Times New Roman" w:hAnsi="Times New Roman" w:eastAsia="宋体" w:cs="Times New Roman"/>
                <w:szCs w:val="21"/>
              </w:rPr>
              <w:t>加入与弱电解质电离出的离子相同的离子,电离平衡</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移动(同离子效应) </w:t>
            </w:r>
          </w:p>
        </w:tc>
      </w:tr>
      <w:tr w14:paraId="2B3D2E1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vMerge w:val="continue"/>
            <w:tcMar>
              <w:left w:w="0" w:type="dxa"/>
              <w:right w:w="0" w:type="dxa"/>
            </w:tcMar>
            <w:vAlign w:val="center"/>
          </w:tcPr>
          <w:p w14:paraId="2B5CE7C2">
            <w:pPr>
              <w:spacing w:line="420" w:lineRule="exact"/>
              <w:rPr>
                <w:rFonts w:ascii="Times New Roman" w:hAnsi="Times New Roman" w:eastAsia="宋体" w:cs="Times New Roman"/>
                <w:szCs w:val="21"/>
              </w:rPr>
            </w:pPr>
          </w:p>
        </w:tc>
        <w:tc>
          <w:tcPr>
            <w:tcW w:w="4467" w:type="pct"/>
            <w:tcMar>
              <w:left w:w="105" w:type="dxa"/>
              <w:right w:w="105" w:type="dxa"/>
            </w:tcMar>
            <w:vAlign w:val="center"/>
          </w:tcPr>
          <w:p w14:paraId="2633C5EF">
            <w:pPr>
              <w:spacing w:line="420" w:lineRule="exact"/>
              <w:rPr>
                <w:rFonts w:ascii="Times New Roman" w:hAnsi="Times New Roman" w:eastAsia="宋体" w:cs="Times New Roman"/>
                <w:szCs w:val="21"/>
              </w:rPr>
            </w:pPr>
            <w:r>
              <w:rPr>
                <w:rFonts w:ascii="Times New Roman" w:hAnsi="Times New Roman" w:eastAsia="宋体" w:cs="Times New Roman"/>
                <w:szCs w:val="21"/>
              </w:rPr>
              <w:t>加入能与弱电解质电离出的离子反应的离子,电离平衡</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移动 </w:t>
            </w:r>
          </w:p>
        </w:tc>
      </w:tr>
    </w:tbl>
    <w:p w14:paraId="651E71D6">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526D1">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ADCC1">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RJ》使用</w:t>
    </w:r>
  </w:p>
  <w:bookmarkEnd w:id="0"/>
  <w:p w14:paraId="120479BC">
    <w:pPr>
      <w:pStyle w:val="12"/>
      <w:rPr>
        <w:rFonts w:hint="eastAsia"/>
      </w:rPr>
    </w:pPr>
    <w:bookmarkStart w:id="1" w:name="_GoBack"/>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731119"/>
    <w:rsid w:val="0006608B"/>
    <w:rsid w:val="001251F6"/>
    <w:rsid w:val="00155F19"/>
    <w:rsid w:val="001707AF"/>
    <w:rsid w:val="001E5551"/>
    <w:rsid w:val="0047698C"/>
    <w:rsid w:val="00731119"/>
    <w:rsid w:val="0073120C"/>
    <w:rsid w:val="007E24E9"/>
    <w:rsid w:val="008E5B32"/>
    <w:rsid w:val="00A65F3E"/>
    <w:rsid w:val="00D1308C"/>
    <w:rsid w:val="00DA562B"/>
    <w:rsid w:val="00DA7472"/>
    <w:rsid w:val="00E73B43"/>
    <w:rsid w:val="0CF46B86"/>
    <w:rsid w:val="29EE089E"/>
    <w:rsid w:val="30B91BC9"/>
    <w:rsid w:val="6C783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603</Words>
  <Characters>688</Characters>
  <Lines>25</Lines>
  <Paragraphs>23</Paragraphs>
  <TotalTime>0</TotalTime>
  <ScaleCrop>false</ScaleCrop>
  <LinksUpToDate>false</LinksUpToDate>
  <CharactersWithSpaces>919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2025-04-02T02:07:00Z</dcterms:created>
  <dc:creator>8618080071290</dc:creator>
  <cp:lastModifiedBy>刘岩</cp:lastModifiedBy>
  <dcterms:modified xsi:type="dcterms:W3CDTF">2026-03-18T09:18:11Z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B39CD7EBF99D4FC38EEEACD75A3FA447_12</vt:lpwstr>
  </property>
</Properties>
</file>